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450" w:tblpY="-1414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000"/>
        <w:gridCol w:w="303"/>
        <w:gridCol w:w="1226"/>
        <w:gridCol w:w="1284"/>
        <w:gridCol w:w="1216"/>
        <w:gridCol w:w="1554"/>
        <w:gridCol w:w="1669"/>
      </w:tblGrid>
      <w:tr w:rsidR="00855E8C" w:rsidRPr="00972DEF" w:rsidTr="00564E46">
        <w:tc>
          <w:tcPr>
            <w:tcW w:w="2445" w:type="dxa"/>
            <w:gridSpan w:val="3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226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284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216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554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669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855E8C" w:rsidRPr="00972DEF" w:rsidTr="00564E46">
        <w:tc>
          <w:tcPr>
            <w:tcW w:w="2445" w:type="dxa"/>
            <w:gridSpan w:val="3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2D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Periodontoloji</w:t>
            </w:r>
            <w:proofErr w:type="spellEnd"/>
            <w:r w:rsidRPr="00972D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I</w:t>
            </w:r>
          </w:p>
        </w:tc>
        <w:tc>
          <w:tcPr>
            <w:tcW w:w="1226" w:type="dxa"/>
          </w:tcPr>
          <w:p w:rsidR="00855E8C" w:rsidRPr="00972DEF" w:rsidRDefault="00C033B2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3201309</w:t>
            </w:r>
            <w:bookmarkStart w:id="0" w:name="_GoBack"/>
            <w:bookmarkEnd w:id="0"/>
          </w:p>
        </w:tc>
        <w:tc>
          <w:tcPr>
            <w:tcW w:w="1284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</w:t>
            </w:r>
            <w:r w:rsidR="00D3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-VI</w:t>
            </w:r>
          </w:p>
        </w:tc>
        <w:tc>
          <w:tcPr>
            <w:tcW w:w="1216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2-0</w:t>
            </w:r>
          </w:p>
        </w:tc>
        <w:tc>
          <w:tcPr>
            <w:tcW w:w="1554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69" w:type="dxa"/>
          </w:tcPr>
          <w:p w:rsidR="00855E8C" w:rsidRPr="00972DEF" w:rsidRDefault="00040897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855E8C" w:rsidRPr="00972DEF" w:rsidTr="00564E46">
        <w:trPr>
          <w:trHeight w:val="225"/>
        </w:trPr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E8C" w:rsidRPr="00972DEF" w:rsidTr="00564E46">
        <w:trPr>
          <w:trHeight w:val="174"/>
        </w:trPr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Periodonsiyumun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anatomik ve mikroskobik özelliklerini ve fonksiyonlarını tam anlamıyla öğrenmeli. Plağın içeriğini ve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mikrobiyal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yapısını öğrenmeli.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patogenezindeki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immun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reaksiyonu öğrenmeli.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Okluzal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travmanın</w:t>
            </w:r>
            <w:proofErr w:type="gram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periodonsiyumda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neden olduğu fonksiyonel ve mikroskobik değişikliklerini saptayabilmeli.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Gingivitis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, kronik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periodontitis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agresif</w:t>
            </w:r>
            <w:proofErr w:type="gram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periodontitisin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klinik özelliklerinin tam olarak öğrenmeli ve teşhis edebilmeli.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 ile ilgili etiyolojik faktörleri öğrenmeli. Dişeti büyümelerinin klinik özelliklerini tam olarak öğrenmeli ve teşhis edebilmeli. Dişeti çekilmesinin anatomik ve etiyolojik faktörleri öğrenmeli.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pulpal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apselerin klinik ve radyolojik olarak teşhis edebilmeli </w:t>
            </w:r>
          </w:p>
        </w:tc>
      </w:tr>
      <w:tr w:rsidR="00855E8C" w:rsidRPr="00972DEF" w:rsidTr="00564E46">
        <w:trPr>
          <w:trHeight w:val="170"/>
        </w:trPr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252" w:type="dxa"/>
            <w:gridSpan w:val="6"/>
          </w:tcPr>
          <w:p w:rsidR="00855E8C" w:rsidRPr="00972DEF" w:rsidRDefault="00855E8C" w:rsidP="0056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Bu dersin sonucunda öğrenci; 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dokuların histolojini ve anatomisini öğrenir.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Plağın kimyasal ve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mikrobiyal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yapısını öğrenir. 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etiyolojik faktörlerini öğrenir. 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Dişeti büyümelerinin klinik özelliklerini tam olarak öğrenmeli ve teşhis edebilir. 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Dişeti çekilmesinin anatomik ve etiyolojik faktörleri öğrenir. 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pulpal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apselerin klinik ve radyolojik olarak teşhis eder.</w:t>
            </w:r>
          </w:p>
          <w:p w:rsidR="00855E8C" w:rsidRPr="00972DEF" w:rsidRDefault="00855E8C" w:rsidP="00564E4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Okluzal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travmanın</w:t>
            </w:r>
            <w:proofErr w:type="gram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periodonsiyumda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neden olduğu fonksiyonel ve mikroskobik değişikliklerini saptar.</w:t>
            </w:r>
          </w:p>
        </w:tc>
      </w:tr>
      <w:tr w:rsidR="00855E8C" w:rsidRPr="00972DEF" w:rsidTr="00564E46">
        <w:tc>
          <w:tcPr>
            <w:tcW w:w="2142" w:type="dxa"/>
            <w:gridSpan w:val="2"/>
          </w:tcPr>
          <w:p w:rsidR="00855E8C" w:rsidRPr="00972DEF" w:rsidRDefault="00855E8C" w:rsidP="00564E4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252" w:type="dxa"/>
            <w:gridSpan w:val="6"/>
          </w:tcPr>
          <w:p w:rsidR="0043069D" w:rsidRPr="00CE2CA3" w:rsidRDefault="0043069D" w:rsidP="0056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Periodontal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hastalığın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histopatolojisi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ve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patogenezi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,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periodontal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hastalığın epidemiyolojisi ve kullanılan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index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sistemleri.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Periodontal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muayene, tanı, tedavi planlaması ve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prognoz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. </w:t>
            </w:r>
            <w:proofErr w:type="spellStart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>Periodontal</w:t>
            </w:r>
            <w:proofErr w:type="spellEnd"/>
            <w:r w:rsidRPr="00CE2C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tr-TR"/>
              </w:rPr>
              <w:t xml:space="preserve"> hastalıkların sınıflandırılması, tanımlanması.</w:t>
            </w:r>
          </w:p>
          <w:p w:rsidR="00855E8C" w:rsidRPr="00972DEF" w:rsidRDefault="00855E8C" w:rsidP="00564E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5E8C" w:rsidRPr="00972DEF" w:rsidTr="00564E46">
        <w:trPr>
          <w:trHeight w:val="210"/>
        </w:trPr>
        <w:tc>
          <w:tcPr>
            <w:tcW w:w="1142" w:type="dxa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:rsidR="00855E8C" w:rsidRPr="00972DEF" w:rsidRDefault="00855E8C" w:rsidP="00564E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Periodontolojinin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tarihcesi</w:t>
            </w:r>
            <w:proofErr w:type="spellEnd"/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Periodonsiyumun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ilgili yapıların fonksiyonel anatomisi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Periodonsiyumun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biyolojisi ve oral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fisyolojisi</w:t>
            </w:r>
            <w:proofErr w:type="spellEnd"/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Tükürük ve cep sıvısının anatomik ve fizyolojik özellikleri ve içeriği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etiyolojisi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plağın mikrobiyolojisi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Plakla ilişkili hastalıkların etiyolojisi ve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gram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faktörlerin rolü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üzerine sistemik ve diğer düzensizliklerin etkisi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doku yıkımının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patogenezinde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bakterilerin rolü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patogenezinde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immün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reaksiyonlar ve böyle lezyonların ilerlemesi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Gingival</w:t>
            </w:r>
            <w:proofErr w:type="spellEnd"/>
            <w:r w:rsidR="00CE2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inflamasyon</w:t>
            </w:r>
            <w:proofErr w:type="spellEnd"/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Gingival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epidemiyolojisi</w:t>
            </w:r>
          </w:p>
        </w:tc>
      </w:tr>
      <w:tr w:rsidR="00855E8C" w:rsidRPr="00972DEF" w:rsidTr="00564E46">
        <w:trPr>
          <w:trHeight w:val="240"/>
        </w:trPr>
        <w:tc>
          <w:tcPr>
            <w:tcW w:w="1142" w:type="dxa"/>
          </w:tcPr>
          <w:p w:rsidR="00855E8C" w:rsidRPr="002B0410" w:rsidRDefault="00855E8C" w:rsidP="002B041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855E8C" w:rsidRPr="00972DEF" w:rsidRDefault="00855E8C" w:rsidP="00564E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Periodonsiyum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yaşlılık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sınıflandırılması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Dişeti hastalıkları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İnflamasyonun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yayılma yolları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Periodontitis</w:t>
            </w:r>
            <w:proofErr w:type="spellEnd"/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Mukokütanöz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Apseler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pulpal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apselerin ayırıcı </w:t>
            </w:r>
            <w:proofErr w:type="gram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kriterleri</w:t>
            </w:r>
            <w:proofErr w:type="gramEnd"/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Dişeti büyümeleri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25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Dişeti çekilmeleri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Okluzal</w:t>
            </w:r>
            <w:proofErr w:type="spellEnd"/>
            <w:r w:rsidR="00D3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travma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="00D3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travma</w:t>
            </w:r>
            <w:proofErr w:type="gramEnd"/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Çocuklarda görülen </w:t>
            </w: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</w:tr>
      <w:tr w:rsidR="00A67DAE" w:rsidRPr="00972DEF" w:rsidTr="00564E46">
        <w:trPr>
          <w:trHeight w:val="240"/>
        </w:trPr>
        <w:tc>
          <w:tcPr>
            <w:tcW w:w="1142" w:type="dxa"/>
          </w:tcPr>
          <w:p w:rsidR="00A67DAE" w:rsidRPr="002B0410" w:rsidRDefault="00A67DAE" w:rsidP="00A67DA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2" w:type="dxa"/>
            <w:gridSpan w:val="7"/>
          </w:tcPr>
          <w:p w:rsidR="00A67DAE" w:rsidRPr="0087642C" w:rsidRDefault="00A67DAE" w:rsidP="00A67DA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>Periodontal</w:t>
            </w:r>
            <w:proofErr w:type="spellEnd"/>
            <w:r w:rsidRPr="0087642C">
              <w:rPr>
                <w:rFonts w:ascii="Times New Roman" w:hAnsi="Times New Roman" w:cs="Times New Roman"/>
                <w:sz w:val="20"/>
                <w:szCs w:val="20"/>
              </w:rPr>
              <w:t xml:space="preserve"> hastalıkların epidemiyolojik değerlendirmeleri</w:t>
            </w:r>
          </w:p>
        </w:tc>
      </w:tr>
      <w:tr w:rsidR="00A67DAE" w:rsidRPr="00972DEF" w:rsidTr="00564E46">
        <w:trPr>
          <w:trHeight w:val="300"/>
        </w:trPr>
        <w:tc>
          <w:tcPr>
            <w:tcW w:w="9394" w:type="dxa"/>
            <w:gridSpan w:val="8"/>
          </w:tcPr>
          <w:p w:rsidR="00A67DAE" w:rsidRPr="00972DEF" w:rsidRDefault="00A67DAE" w:rsidP="00A67D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A67DAE" w:rsidRPr="00972DEF" w:rsidTr="00564E46">
        <w:trPr>
          <w:trHeight w:val="425"/>
        </w:trPr>
        <w:tc>
          <w:tcPr>
            <w:tcW w:w="9394" w:type="dxa"/>
            <w:gridSpan w:val="8"/>
            <w:vAlign w:val="center"/>
          </w:tcPr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1-Ağız-diş sağlığını sağlamaya yönelik olarak diş hekimliğinde kullanılan cihaz ve aleti kullanabilmenin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yanısıra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diş hekimliğinde kullanılan her tür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biomateryal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konusunda yeterli bilgiye sahip olabilmek.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2-Süt ve daimi dişlerin anatomik yapılarının, gelişim ve fonksiyonlarının öğrenilerek gerek klinik uygulamalarda gerekse deneysel araştırmalarda kullanılabilmek.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3-Diş hekimliği mesleği ile ilgili kendini sürekli geliştirebilmek, güncel tedavi yaklaşımlarını takip ederek öğrendiklerini uygulamalarında kullanabilmek.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4-Kazanmış olduğu temel tıp bilimleri bilgilerini gerek klinik gerekse laboratuar çalışmalarında uygulayabilmek.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5-Ağız ve çevre dokulara ait problemlerin çözümüne yönelik geniş kapsamlı tanı ve tedavi planlaması yapabilmek.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6-Dişler ve çevre dokularla ilişkili terim ve tanımlamaların öğrenmek.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7-Klinik uygulamalar esnasında fiziksel, kimyasal, ve mikrobiyolojik 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kontaminasyondan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korunarak çapraz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oluşmasını engellemek.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8-Günümüz çağdaş hekimlik anlayışına uygun bilgi, </w:t>
            </w:r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beceri,</w:t>
            </w:r>
            <w:proofErr w:type="gram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ve etik ilkelere sahip olabilmek. </w:t>
            </w:r>
          </w:p>
          <w:p w:rsidR="00A67DAE" w:rsidRPr="00972DEF" w:rsidRDefault="00A67DAE" w:rsidP="00CE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9-Topluma yönelik ağız-diş sağlığı tarama programlarına katılarak bu konularda yeterli donanıma sahip olarak koruyucu diş hekimliği uygulamalarını ön planda tutabilmek.</w:t>
            </w:r>
          </w:p>
        </w:tc>
      </w:tr>
    </w:tbl>
    <w:p w:rsidR="00855E8C" w:rsidRPr="00972DEF" w:rsidRDefault="00855E8C" w:rsidP="00855E8C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8"/>
      </w:tblGrid>
      <w:tr w:rsidR="00855E8C" w:rsidRPr="00972DEF" w:rsidTr="00D85640">
        <w:trPr>
          <w:trHeight w:val="300"/>
        </w:trPr>
        <w:tc>
          <w:tcPr>
            <w:tcW w:w="9428" w:type="dxa"/>
          </w:tcPr>
          <w:p w:rsidR="00855E8C" w:rsidRPr="00972DEF" w:rsidRDefault="00855E8C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Kaynaklar </w:t>
            </w:r>
          </w:p>
        </w:tc>
      </w:tr>
      <w:tr w:rsidR="00855E8C" w:rsidRPr="00972DEF" w:rsidTr="00D85640">
        <w:trPr>
          <w:trHeight w:val="300"/>
        </w:trPr>
        <w:tc>
          <w:tcPr>
            <w:tcW w:w="9428" w:type="dxa"/>
          </w:tcPr>
          <w:p w:rsidR="00855E8C" w:rsidRPr="00972DEF" w:rsidRDefault="00855E8C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Ataoğlu</w:t>
            </w:r>
            <w:proofErr w:type="spellEnd"/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6DCA" w:rsidRPr="00972D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 w:rsidR="00276DCA"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Gürsel</w:t>
            </w:r>
            <w:r w:rsidR="00276DCA" w:rsidRPr="00972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M. (1999). </w:t>
            </w:r>
            <w:proofErr w:type="spellStart"/>
            <w:r w:rsidRPr="00972DEF">
              <w:rPr>
                <w:rFonts w:ascii="Times New Roman" w:hAnsi="Times New Roman" w:cs="Times New Roman"/>
                <w:i/>
                <w:sz w:val="20"/>
                <w:szCs w:val="20"/>
              </w:rPr>
              <w:t>Periodontoloji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. Konya.</w:t>
            </w:r>
          </w:p>
          <w:p w:rsidR="00855E8C" w:rsidRPr="00972DEF" w:rsidRDefault="00855E8C" w:rsidP="00D8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Newman</w:t>
            </w:r>
            <w:proofErr w:type="spellEnd"/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Takei</w:t>
            </w:r>
            <w:proofErr w:type="spellEnd"/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Caranza</w:t>
            </w:r>
            <w:proofErr w:type="spellEnd"/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="006C62A8"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A. (2002). </w:t>
            </w:r>
            <w:proofErr w:type="spellStart"/>
            <w:r w:rsidRPr="00972DEF">
              <w:rPr>
                <w:rFonts w:ascii="Times New Roman" w:hAnsi="Times New Roman" w:cs="Times New Roman"/>
                <w:i/>
                <w:sz w:val="20"/>
                <w:szCs w:val="20"/>
              </w:rPr>
              <w:t>CARRANZA’sClinicalPeriodontology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. New York: W.B.</w:t>
            </w: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Saunders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5E8C" w:rsidRPr="00972DEF" w:rsidTr="00D85640">
        <w:trPr>
          <w:trHeight w:val="300"/>
        </w:trPr>
        <w:tc>
          <w:tcPr>
            <w:tcW w:w="9428" w:type="dxa"/>
          </w:tcPr>
          <w:p w:rsidR="00855E8C" w:rsidRPr="00972DEF" w:rsidRDefault="00855E8C" w:rsidP="00D856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55E8C" w:rsidRPr="00972DEF" w:rsidTr="00D85640">
        <w:trPr>
          <w:trHeight w:val="416"/>
        </w:trPr>
        <w:tc>
          <w:tcPr>
            <w:tcW w:w="9428" w:type="dxa"/>
          </w:tcPr>
          <w:p w:rsidR="00855E8C" w:rsidRPr="00972DEF" w:rsidRDefault="00855E8C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855E8C" w:rsidRPr="00972DEF" w:rsidRDefault="00855E8C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855E8C" w:rsidRPr="00972DEF" w:rsidRDefault="00855E8C" w:rsidP="00D85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72DE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</w:t>
            </w:r>
          </w:p>
        </w:tc>
      </w:tr>
    </w:tbl>
    <w:p w:rsidR="00564E46" w:rsidRPr="00972DEF" w:rsidRDefault="00564E46">
      <w:pPr>
        <w:rPr>
          <w:rFonts w:ascii="Times New Roman" w:hAnsi="Times New Roman" w:cs="Times New Roman"/>
          <w:sz w:val="20"/>
          <w:szCs w:val="20"/>
        </w:rPr>
      </w:pPr>
    </w:p>
    <w:p w:rsidR="00564E46" w:rsidRPr="00972DEF" w:rsidRDefault="00564E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64E46" w:rsidRPr="00972DEF" w:rsidTr="00A5165C">
        <w:trPr>
          <w:trHeight w:val="312"/>
        </w:trPr>
        <w:tc>
          <w:tcPr>
            <w:tcW w:w="7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64E46" w:rsidRPr="00972DEF" w:rsidTr="00A5165C">
        <w:trPr>
          <w:trHeight w:val="300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4E46" w:rsidRPr="00972DEF" w:rsidTr="00A5165C">
        <w:trPr>
          <w:trHeight w:val="312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4E46" w:rsidRPr="00972DEF" w:rsidTr="00564E46">
        <w:trPr>
          <w:trHeight w:val="516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E46" w:rsidRPr="00972DEF" w:rsidTr="00A5165C">
        <w:trPr>
          <w:trHeight w:val="312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4E46" w:rsidRPr="00972DEF" w:rsidTr="00A5165C">
        <w:trPr>
          <w:trHeight w:val="300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E46" w:rsidRPr="00972DEF" w:rsidTr="00A5165C">
        <w:trPr>
          <w:trHeight w:val="312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4E46" w:rsidRPr="00972DEF" w:rsidTr="00A5165C">
        <w:trPr>
          <w:trHeight w:val="312"/>
        </w:trPr>
        <w:tc>
          <w:tcPr>
            <w:tcW w:w="746" w:type="dxa"/>
          </w:tcPr>
          <w:p w:rsidR="00564E46" w:rsidRPr="00972DEF" w:rsidRDefault="00624F7F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4E46" w:rsidRPr="00972DEF" w:rsidTr="00A5165C">
        <w:trPr>
          <w:trHeight w:val="312"/>
        </w:trPr>
        <w:tc>
          <w:tcPr>
            <w:tcW w:w="9608" w:type="dxa"/>
            <w:gridSpan w:val="19"/>
          </w:tcPr>
          <w:p w:rsidR="00564E46" w:rsidRPr="00972DEF" w:rsidRDefault="00624F7F" w:rsidP="00A51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564E46"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564E46" w:rsidRPr="00972DEF" w:rsidTr="00A5165C">
        <w:trPr>
          <w:trHeight w:val="474"/>
        </w:trPr>
        <w:tc>
          <w:tcPr>
            <w:tcW w:w="746" w:type="dxa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564E46" w:rsidRPr="00972DEF" w:rsidRDefault="00564E46" w:rsidP="00564E46">
      <w:pPr>
        <w:rPr>
          <w:rFonts w:ascii="Times New Roman" w:hAnsi="Times New Roman" w:cs="Times New Roman"/>
          <w:sz w:val="20"/>
          <w:szCs w:val="20"/>
        </w:rPr>
      </w:pPr>
    </w:p>
    <w:p w:rsidR="00564E46" w:rsidRPr="00972DEF" w:rsidRDefault="00564E46" w:rsidP="00564E46">
      <w:pPr>
        <w:rPr>
          <w:rFonts w:ascii="Times New Roman" w:hAnsi="Times New Roman" w:cs="Times New Roman"/>
          <w:sz w:val="20"/>
          <w:szCs w:val="20"/>
        </w:rPr>
      </w:pPr>
    </w:p>
    <w:p w:rsidR="00564E46" w:rsidRPr="00972DEF" w:rsidRDefault="00564E46" w:rsidP="00564E46">
      <w:pPr>
        <w:rPr>
          <w:rFonts w:ascii="Times New Roman" w:hAnsi="Times New Roman" w:cs="Times New Roman"/>
          <w:b/>
          <w:sz w:val="20"/>
          <w:szCs w:val="20"/>
        </w:rPr>
      </w:pPr>
    </w:p>
    <w:p w:rsidR="00564E46" w:rsidRPr="00972DEF" w:rsidRDefault="00564E46" w:rsidP="00624F7F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72DEF">
        <w:rPr>
          <w:rFonts w:ascii="Times New Roman" w:hAnsi="Times New Roman" w:cs="Times New Roman"/>
          <w:b/>
          <w:sz w:val="20"/>
          <w:szCs w:val="20"/>
        </w:rPr>
        <w:lastRenderedPageBreak/>
        <w:t>Program Çıktıları ve İlgili Dersin İlişkisi</w:t>
      </w:r>
    </w:p>
    <w:tbl>
      <w:tblPr>
        <w:tblStyle w:val="TabloKlavuzu"/>
        <w:tblW w:w="9936" w:type="dxa"/>
        <w:tblInd w:w="-459" w:type="dxa"/>
        <w:tblLook w:val="04A0"/>
      </w:tblPr>
      <w:tblGrid>
        <w:gridCol w:w="13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64E46" w:rsidRPr="00972DEF" w:rsidTr="00564E46">
        <w:trPr>
          <w:trHeight w:val="544"/>
        </w:trPr>
        <w:tc>
          <w:tcPr>
            <w:tcW w:w="1374" w:type="dxa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30" w:type="dxa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64E46" w:rsidRPr="00972DEF" w:rsidRDefault="00564E46" w:rsidP="00A5165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64E46" w:rsidRPr="00972DEF" w:rsidTr="00564E46">
        <w:trPr>
          <w:trHeight w:val="468"/>
        </w:trPr>
        <w:tc>
          <w:tcPr>
            <w:tcW w:w="1374" w:type="dxa"/>
          </w:tcPr>
          <w:p w:rsidR="00564E46" w:rsidRPr="00972DEF" w:rsidRDefault="00564E46" w:rsidP="00564E46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Periodontoloji</w:t>
            </w:r>
            <w:proofErr w:type="spellEnd"/>
            <w:r w:rsidRPr="00972DE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30" w:type="dxa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4E46" w:rsidRPr="00972DEF" w:rsidRDefault="00564E46" w:rsidP="00A5165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564E46" w:rsidRPr="00972DEF" w:rsidRDefault="00564E46" w:rsidP="00A51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64E46" w:rsidRPr="00972DEF" w:rsidRDefault="00564E46" w:rsidP="00564E46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64E46" w:rsidRPr="00972DEF" w:rsidRDefault="00564E46" w:rsidP="00564E46">
      <w:pPr>
        <w:rPr>
          <w:rFonts w:ascii="Times New Roman" w:hAnsi="Times New Roman" w:cs="Times New Roman"/>
          <w:sz w:val="20"/>
          <w:szCs w:val="20"/>
        </w:rPr>
      </w:pPr>
    </w:p>
    <w:p w:rsidR="00564E46" w:rsidRPr="00972DEF" w:rsidRDefault="00564E46">
      <w:pPr>
        <w:rPr>
          <w:rFonts w:ascii="Times New Roman" w:hAnsi="Times New Roman" w:cs="Times New Roman"/>
          <w:sz w:val="20"/>
          <w:szCs w:val="20"/>
        </w:rPr>
      </w:pPr>
    </w:p>
    <w:sectPr w:rsidR="00564E46" w:rsidRPr="00972DEF" w:rsidSect="009B5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4C6"/>
    <w:multiLevelType w:val="hybridMultilevel"/>
    <w:tmpl w:val="3490F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7D67"/>
    <w:multiLevelType w:val="hybridMultilevel"/>
    <w:tmpl w:val="BD12160E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583" w:hanging="360"/>
      </w:pPr>
    </w:lvl>
    <w:lvl w:ilvl="2" w:tplc="041F001B" w:tentative="1">
      <w:start w:val="1"/>
      <w:numFmt w:val="lowerRoman"/>
      <w:lvlText w:val="%3."/>
      <w:lvlJc w:val="right"/>
      <w:pPr>
        <w:ind w:left="2303" w:hanging="180"/>
      </w:pPr>
    </w:lvl>
    <w:lvl w:ilvl="3" w:tplc="041F000F" w:tentative="1">
      <w:start w:val="1"/>
      <w:numFmt w:val="decimal"/>
      <w:lvlText w:val="%4."/>
      <w:lvlJc w:val="left"/>
      <w:pPr>
        <w:ind w:left="3023" w:hanging="360"/>
      </w:pPr>
    </w:lvl>
    <w:lvl w:ilvl="4" w:tplc="041F0019" w:tentative="1">
      <w:start w:val="1"/>
      <w:numFmt w:val="lowerLetter"/>
      <w:lvlText w:val="%5."/>
      <w:lvlJc w:val="left"/>
      <w:pPr>
        <w:ind w:left="3743" w:hanging="360"/>
      </w:pPr>
    </w:lvl>
    <w:lvl w:ilvl="5" w:tplc="041F001B" w:tentative="1">
      <w:start w:val="1"/>
      <w:numFmt w:val="lowerRoman"/>
      <w:lvlText w:val="%6."/>
      <w:lvlJc w:val="right"/>
      <w:pPr>
        <w:ind w:left="4463" w:hanging="180"/>
      </w:pPr>
    </w:lvl>
    <w:lvl w:ilvl="6" w:tplc="041F000F" w:tentative="1">
      <w:start w:val="1"/>
      <w:numFmt w:val="decimal"/>
      <w:lvlText w:val="%7."/>
      <w:lvlJc w:val="left"/>
      <w:pPr>
        <w:ind w:left="5183" w:hanging="360"/>
      </w:pPr>
    </w:lvl>
    <w:lvl w:ilvl="7" w:tplc="041F0019" w:tentative="1">
      <w:start w:val="1"/>
      <w:numFmt w:val="lowerLetter"/>
      <w:lvlText w:val="%8."/>
      <w:lvlJc w:val="left"/>
      <w:pPr>
        <w:ind w:left="5903" w:hanging="360"/>
      </w:pPr>
    </w:lvl>
    <w:lvl w:ilvl="8" w:tplc="041F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375915C6"/>
    <w:multiLevelType w:val="hybridMultilevel"/>
    <w:tmpl w:val="7FCEA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E8C"/>
    <w:rsid w:val="00040897"/>
    <w:rsid w:val="00160042"/>
    <w:rsid w:val="001D24B8"/>
    <w:rsid w:val="001F21BA"/>
    <w:rsid w:val="00276DCA"/>
    <w:rsid w:val="002B0410"/>
    <w:rsid w:val="002C25B5"/>
    <w:rsid w:val="0043069D"/>
    <w:rsid w:val="00564E46"/>
    <w:rsid w:val="005774B4"/>
    <w:rsid w:val="00624F7F"/>
    <w:rsid w:val="006A1249"/>
    <w:rsid w:val="006C62A8"/>
    <w:rsid w:val="007977CE"/>
    <w:rsid w:val="008039D0"/>
    <w:rsid w:val="00855E8C"/>
    <w:rsid w:val="00972DEF"/>
    <w:rsid w:val="009B58A3"/>
    <w:rsid w:val="00A07ED5"/>
    <w:rsid w:val="00A67DAE"/>
    <w:rsid w:val="00C033B2"/>
    <w:rsid w:val="00CE2CA3"/>
    <w:rsid w:val="00D358DE"/>
    <w:rsid w:val="00F61806"/>
    <w:rsid w:val="00F70FDB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8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E8C"/>
    <w:pPr>
      <w:ind w:left="720"/>
      <w:contextualSpacing/>
    </w:pPr>
  </w:style>
  <w:style w:type="table" w:styleId="TabloKlavuzu">
    <w:name w:val="Table Grid"/>
    <w:basedOn w:val="NormalTablo"/>
    <w:uiPriority w:val="59"/>
    <w:rsid w:val="00564E46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8</cp:revision>
  <dcterms:created xsi:type="dcterms:W3CDTF">2018-11-19T07:46:00Z</dcterms:created>
  <dcterms:modified xsi:type="dcterms:W3CDTF">2018-12-05T08:38:00Z</dcterms:modified>
</cp:coreProperties>
</file>